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6668347"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90</w:t>
      </w:r>
      <w:r w:rsidR="00A75B59">
        <w:rPr>
          <w:rFonts w:cs="Arial"/>
          <w:sz w:val="24"/>
          <w:szCs w:val="24"/>
        </w:rPr>
        <w:t>-B</w:t>
      </w:r>
      <w:bookmarkStart w:id="0" w:name="_GoBack"/>
      <w:bookmarkEnd w:id="0"/>
      <w:r w:rsidR="00C51EC1">
        <w:rPr>
          <w:rFonts w:cs="Arial"/>
          <w:sz w:val="24"/>
          <w:szCs w:val="24"/>
        </w:rPr>
        <w:t>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A75B59">
        <w:rPr>
          <w:rFonts w:cs="Arial"/>
          <w:color w:val="000000"/>
          <w:sz w:val="24"/>
          <w:szCs w:val="24"/>
        </w:rPr>
        <w:t>03290</w:t>
      </w:r>
    </w:p>
    <w:p w14:paraId="2700B07E" w14:textId="22D126BA" w:rsidR="003175E3" w:rsidRPr="00C51EC1" w:rsidRDefault="00C51EC1" w:rsidP="003175E3">
      <w:pPr>
        <w:pStyle w:val="Header"/>
        <w:rPr>
          <w:rFonts w:eastAsia="SimSun"/>
          <w:sz w:val="24"/>
          <w:szCs w:val="24"/>
          <w:lang w:eastAsia="zh-CN"/>
        </w:rPr>
      </w:pPr>
      <w:r>
        <w:rPr>
          <w:rFonts w:eastAsia="SimSun"/>
          <w:sz w:val="24"/>
          <w:szCs w:val="24"/>
          <w:lang w:eastAsia="zh-CN"/>
        </w:rPr>
        <w:t>Xi’an, China</w:t>
      </w:r>
      <w:r w:rsidR="003175E3" w:rsidRPr="002E7CB7">
        <w:rPr>
          <w:rFonts w:eastAsia="SimSun"/>
          <w:sz w:val="24"/>
          <w:szCs w:val="24"/>
          <w:lang w:eastAsia="zh-CN"/>
        </w:rPr>
        <w:t xml:space="preserve">, </w:t>
      </w:r>
      <w:r>
        <w:rPr>
          <w:rFonts w:eastAsia="SimSun"/>
          <w:sz w:val="24"/>
          <w:szCs w:val="24"/>
          <w:lang w:eastAsia="zh-CN"/>
        </w:rPr>
        <w:t>8 – 12 April</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10FDAD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33D0A">
        <w:rPr>
          <w:rFonts w:ascii="Arial" w:hAnsi="Arial"/>
          <w:sz w:val="24"/>
          <w:lang w:val="en-US"/>
        </w:rPr>
        <w:t>7.13.3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0AF063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51EC1">
        <w:rPr>
          <w:rFonts w:ascii="Arial" w:hAnsi="Arial"/>
          <w:sz w:val="24"/>
          <w:lang w:val="en-US"/>
        </w:rPr>
        <w:t xml:space="preserve">On TA validation for </w:t>
      </w:r>
      <w:r w:rsidR="0017001F">
        <w:rPr>
          <w:rFonts w:ascii="Arial" w:hAnsi="Arial"/>
          <w:sz w:val="24"/>
          <w:lang w:val="en-US"/>
        </w:rPr>
        <w:t>NB-IoT</w:t>
      </w:r>
      <w:r w:rsidR="00C51EC1">
        <w:rPr>
          <w:rFonts w:ascii="Arial" w:hAnsi="Arial"/>
          <w:sz w:val="24"/>
          <w:lang w:val="en-US"/>
        </w:rPr>
        <w:t xml:space="preserv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574512C0" w14:textId="54BED24E" w:rsidR="00C51EC1" w:rsidRDefault="00C24913" w:rsidP="00C51EC1">
      <w:pPr>
        <w:rPr>
          <w:lang w:val="en-US"/>
        </w:rPr>
      </w:pPr>
      <w:r>
        <w:rPr>
          <w:lang w:val="en-US"/>
        </w:rPr>
        <w:t>In the RAN4</w:t>
      </w:r>
      <w:r w:rsidR="00131E99">
        <w:rPr>
          <w:lang w:val="en-US"/>
        </w:rPr>
        <w:t>#90</w:t>
      </w:r>
      <w:r>
        <w:rPr>
          <w:lang w:val="en-US"/>
        </w:rPr>
        <w:t xml:space="preserve"> meeting, a Way Forward was agreed for RRM aspects of R16</w:t>
      </w:r>
      <w:r w:rsidR="0017001F">
        <w:rPr>
          <w:lang w:val="en-US"/>
        </w:rPr>
        <w:t xml:space="preserve"> NB-IoT</w:t>
      </w:r>
      <w:r>
        <w:rPr>
          <w:lang w:val="en-US"/>
        </w:rPr>
        <w:t xml:space="preserve"> enhancements [1]. In particular, </w:t>
      </w:r>
      <w:r w:rsidR="00EE19FC">
        <w:rPr>
          <w:lang w:val="en-US"/>
        </w:rPr>
        <w:t xml:space="preserve">the following was agreed </w:t>
      </w:r>
      <w:r>
        <w:rPr>
          <w:lang w:val="en-US"/>
        </w:rPr>
        <w:t>with respect to preconfigured uplink resources (PUR):</w:t>
      </w:r>
    </w:p>
    <w:p w14:paraId="2303C7CE" w14:textId="108418B6" w:rsidR="00C24913" w:rsidRDefault="00C24913" w:rsidP="00C51EC1">
      <w:pPr>
        <w:rPr>
          <w:lang w:val="en-US"/>
        </w:rPr>
      </w:pPr>
      <w:r w:rsidRPr="0074147F">
        <w:rPr>
          <w:noProof/>
          <w:lang w:val="en-US" w:eastAsia="zh-CN"/>
        </w:rPr>
        <mc:AlternateContent>
          <mc:Choice Requires="wps">
            <w:drawing>
              <wp:inline distT="0" distB="0" distL="0" distR="0" wp14:anchorId="79EDB92F" wp14:editId="76C8CD97">
                <wp:extent cx="5881420" cy="1250899"/>
                <wp:effectExtent l="0" t="0" r="24130"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50899"/>
                        </a:xfrm>
                        <a:prstGeom prst="rect">
                          <a:avLst/>
                        </a:prstGeom>
                        <a:solidFill>
                          <a:srgbClr val="FFFFFF"/>
                        </a:solidFill>
                        <a:ln w="9525">
                          <a:solidFill>
                            <a:srgbClr val="000000"/>
                          </a:solidFill>
                          <a:miter lim="800000"/>
                          <a:headEnd/>
                          <a:tailEnd/>
                        </a:ln>
                      </wps:spPr>
                      <wps:txbx>
                        <w:txbxContent>
                          <w:p w14:paraId="46E2D0C8" w14:textId="77777777"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RAN4 is to discuss whether to specify requirements for following methods to validate TA</w:t>
                            </w:r>
                          </w:p>
                          <w:p w14:paraId="06706652"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Serving cell change</w:t>
                            </w:r>
                          </w:p>
                          <w:p w14:paraId="21120D37"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Time alignment timer (TAT)</w:t>
                            </w:r>
                          </w:p>
                          <w:p w14:paraId="4C91BE03" w14:textId="37006F77" w:rsid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 xml:space="preserve"> serving cell </w:t>
                            </w:r>
                            <w:r w:rsidR="007274D7">
                              <w:rPr>
                                <w:bCs/>
                                <w:lang w:val="en-US"/>
                              </w:rPr>
                              <w:t>NRSRP</w:t>
                            </w:r>
                            <w:r w:rsidRPr="00C24913">
                              <w:rPr>
                                <w:bCs/>
                                <w:lang w:val="en-US"/>
                              </w:rPr>
                              <w:t xml:space="preserve"> change</w:t>
                            </w:r>
                          </w:p>
                          <w:p w14:paraId="3D8999C1" w14:textId="77777777" w:rsidR="00C24913" w:rsidRPr="00C24913" w:rsidRDefault="00C24913" w:rsidP="00C24913">
                            <w:pPr>
                              <w:overflowPunct w:val="0"/>
                              <w:autoSpaceDE w:val="0"/>
                              <w:autoSpaceDN w:val="0"/>
                              <w:adjustRightInd w:val="0"/>
                              <w:spacing w:after="0"/>
                              <w:ind w:left="1440"/>
                              <w:textAlignment w:val="baseline"/>
                              <w:rPr>
                                <w:bCs/>
                                <w:lang w:val="en-US"/>
                              </w:rPr>
                            </w:pPr>
                          </w:p>
                          <w:p w14:paraId="0E335A6D" w14:textId="53AA7308"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 xml:space="preserve">FFS if RAN4 should define criteria for TA validity, e.g. threshold for the </w:t>
                            </w:r>
                            <w:r w:rsidR="007274D7">
                              <w:rPr>
                                <w:bCs/>
                                <w:lang w:val="en-US"/>
                              </w:rPr>
                              <w:t>NRSRP</w:t>
                            </w:r>
                            <w:r w:rsidRPr="00C24913">
                              <w:rPr>
                                <w:bCs/>
                                <w:lang w:val="en-US"/>
                              </w:rPr>
                              <w:t xml:space="preserve"> change, threshold for the TA change, threshold for the time period during which TA is considered as valid</w:t>
                            </w:r>
                          </w:p>
                          <w:p w14:paraId="39E6066F" w14:textId="77777777" w:rsidR="00C24913" w:rsidRPr="00BE6C0C" w:rsidRDefault="00C24913" w:rsidP="00C24913">
                            <w:pPr>
                              <w:overflowPunct w:val="0"/>
                              <w:autoSpaceDE w:val="0"/>
                              <w:autoSpaceDN w:val="0"/>
                              <w:adjustRightInd w:val="0"/>
                              <w:spacing w:after="0"/>
                              <w:textAlignment w:val="baseline"/>
                              <w:rPr>
                                <w:bCs/>
                              </w:rPr>
                            </w:pPr>
                          </w:p>
                          <w:p w14:paraId="4891B40E" w14:textId="77777777" w:rsidR="00C24913" w:rsidRPr="00E7044A" w:rsidRDefault="00C24913" w:rsidP="00C24913">
                            <w:pPr>
                              <w:rPr>
                                <w:sz w:val="18"/>
                                <w:szCs w:val="18"/>
                                <w:lang w:val="en-US"/>
                              </w:rPr>
                            </w:pPr>
                          </w:p>
                        </w:txbxContent>
                      </wps:txbx>
                      <wps:bodyPr rot="0" vert="horz" wrap="square" lIns="91440" tIns="45720" rIns="91440" bIns="45720" anchor="t" anchorCtr="0">
                        <a:noAutofit/>
                      </wps:bodyPr>
                    </wps:wsp>
                  </a:graphicData>
                </a:graphic>
              </wp:inline>
            </w:drawing>
          </mc:Choice>
          <mc:Fallback>
            <w:pict>
              <v:shapetype w14:anchorId="79EDB92F" id="_x0000_t202" coordsize="21600,21600" o:spt="202" path="m,l,21600r21600,l21600,xe">
                <v:stroke joinstyle="miter"/>
                <v:path gradientshapeok="t" o:connecttype="rect"/>
              </v:shapetype>
              <v:shape id="Text Box 2" o:spid="_x0000_s1026" type="#_x0000_t202" style="width:463.1pt;height: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">
                <v:textbox>
                  <w:txbxContent>
                    <w:p w14:paraId="46E2D0C8" w14:textId="77777777"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RAN4 is to discuss whether to specify requirements for following methods to validate TA</w:t>
                      </w:r>
                    </w:p>
                    <w:p w14:paraId="06706652"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Serving cell change</w:t>
                      </w:r>
                    </w:p>
                    <w:p w14:paraId="21120D37" w14:textId="77777777" w:rsidR="00C24913" w:rsidRP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Time alignment timer (TAT)</w:t>
                      </w:r>
                    </w:p>
                    <w:p w14:paraId="4C91BE03" w14:textId="37006F77" w:rsidR="00C24913" w:rsidRDefault="00C24913" w:rsidP="00090928">
                      <w:pPr>
                        <w:numPr>
                          <w:ilvl w:val="1"/>
                          <w:numId w:val="7"/>
                        </w:numPr>
                        <w:overflowPunct w:val="0"/>
                        <w:autoSpaceDE w:val="0"/>
                        <w:autoSpaceDN w:val="0"/>
                        <w:adjustRightInd w:val="0"/>
                        <w:spacing w:after="0"/>
                        <w:textAlignment w:val="baseline"/>
                        <w:rPr>
                          <w:bCs/>
                          <w:lang w:val="en-US"/>
                        </w:rPr>
                      </w:pPr>
                      <w:r w:rsidRPr="00C24913">
                        <w:rPr>
                          <w:bCs/>
                          <w:lang w:val="en-US"/>
                        </w:rPr>
                        <w:t xml:space="preserve"> serving cell </w:t>
                      </w:r>
                      <w:r w:rsidR="007274D7">
                        <w:rPr>
                          <w:bCs/>
                          <w:lang w:val="en-US"/>
                        </w:rPr>
                        <w:t>NRSRP</w:t>
                      </w:r>
                      <w:r w:rsidRPr="00C24913">
                        <w:rPr>
                          <w:bCs/>
                          <w:lang w:val="en-US"/>
                        </w:rPr>
                        <w:t xml:space="preserve"> change</w:t>
                      </w:r>
                    </w:p>
                    <w:p w14:paraId="3D8999C1" w14:textId="77777777" w:rsidR="00C24913" w:rsidRPr="00C24913" w:rsidRDefault="00C24913" w:rsidP="00C24913">
                      <w:pPr>
                        <w:overflowPunct w:val="0"/>
                        <w:autoSpaceDE w:val="0"/>
                        <w:autoSpaceDN w:val="0"/>
                        <w:adjustRightInd w:val="0"/>
                        <w:spacing w:after="0"/>
                        <w:ind w:left="1440"/>
                        <w:textAlignment w:val="baseline"/>
                        <w:rPr>
                          <w:bCs/>
                          <w:lang w:val="en-US"/>
                        </w:rPr>
                      </w:pPr>
                    </w:p>
                    <w:p w14:paraId="0E335A6D" w14:textId="53AA7308" w:rsidR="00C24913" w:rsidRPr="00C24913" w:rsidRDefault="00C24913" w:rsidP="00090928">
                      <w:pPr>
                        <w:numPr>
                          <w:ilvl w:val="0"/>
                          <w:numId w:val="7"/>
                        </w:numPr>
                        <w:overflowPunct w:val="0"/>
                        <w:autoSpaceDE w:val="0"/>
                        <w:autoSpaceDN w:val="0"/>
                        <w:adjustRightInd w:val="0"/>
                        <w:spacing w:after="0"/>
                        <w:textAlignment w:val="baseline"/>
                        <w:rPr>
                          <w:bCs/>
                          <w:lang w:val="en-US"/>
                        </w:rPr>
                      </w:pPr>
                      <w:r w:rsidRPr="00C24913">
                        <w:rPr>
                          <w:bCs/>
                          <w:lang w:val="en-US"/>
                        </w:rPr>
                        <w:t xml:space="preserve">FFS if RAN4 should define criteria for TA validity, e.g. threshold for the </w:t>
                      </w:r>
                      <w:r w:rsidR="007274D7">
                        <w:rPr>
                          <w:bCs/>
                          <w:lang w:val="en-US"/>
                        </w:rPr>
                        <w:t>NRSRP</w:t>
                      </w:r>
                      <w:r w:rsidRPr="00C24913">
                        <w:rPr>
                          <w:bCs/>
                          <w:lang w:val="en-US"/>
                        </w:rPr>
                        <w:t xml:space="preserve"> change, threshold for the TA change, threshold for the time period during which TA is considered as valid</w:t>
                      </w:r>
                    </w:p>
                    <w:p w14:paraId="39E6066F" w14:textId="77777777" w:rsidR="00C24913" w:rsidRPr="00BE6C0C" w:rsidRDefault="00C24913" w:rsidP="00C24913">
                      <w:pPr>
                        <w:overflowPunct w:val="0"/>
                        <w:autoSpaceDE w:val="0"/>
                        <w:autoSpaceDN w:val="0"/>
                        <w:adjustRightInd w:val="0"/>
                        <w:spacing w:after="0"/>
                        <w:textAlignment w:val="baseline"/>
                        <w:rPr>
                          <w:bCs/>
                        </w:rPr>
                      </w:pPr>
                    </w:p>
                    <w:p w14:paraId="4891B40E" w14:textId="77777777" w:rsidR="00C24913" w:rsidRPr="00E7044A" w:rsidRDefault="00C24913" w:rsidP="00C24913">
                      <w:pPr>
                        <w:rPr>
                          <w:sz w:val="18"/>
                          <w:szCs w:val="18"/>
                          <w:lang w:val="en-US"/>
                        </w:rPr>
                      </w:pPr>
                    </w:p>
                  </w:txbxContent>
                </v:textbox>
                <w10:anchorlock/>
              </v:shape>
            </w:pict>
          </mc:Fallback>
        </mc:AlternateContent>
      </w:r>
    </w:p>
    <w:p w14:paraId="36B4C586" w14:textId="54D21E49" w:rsidR="00C24913" w:rsidRPr="00C51EC1" w:rsidRDefault="00C24913" w:rsidP="00C51EC1">
      <w:pPr>
        <w:rPr>
          <w:lang w:val="en-US"/>
        </w:rPr>
      </w:pPr>
      <w:r>
        <w:rPr>
          <w:lang w:val="en-US"/>
        </w:rPr>
        <w:t xml:space="preserve">In this paper, we </w:t>
      </w:r>
      <w:r w:rsidR="00131E99">
        <w:rPr>
          <w:lang w:val="en-US"/>
        </w:rPr>
        <w:t xml:space="preserve">further </w:t>
      </w:r>
      <w:r>
        <w:rPr>
          <w:lang w:val="en-US"/>
        </w:rPr>
        <w:t xml:space="preserve">discuss the TA validation </w:t>
      </w:r>
      <w:r w:rsidR="00131E99">
        <w:rPr>
          <w:lang w:val="en-US"/>
        </w:rPr>
        <w:t xml:space="preserve">for PUR. </w:t>
      </w:r>
    </w:p>
    <w:p w14:paraId="6C7E2799" w14:textId="70BD6660" w:rsidR="004D6124" w:rsidRDefault="00C51EC1" w:rsidP="004D6124">
      <w:pPr>
        <w:pStyle w:val="Heading1"/>
        <w:rPr>
          <w:lang w:val="en-US"/>
        </w:rPr>
      </w:pPr>
      <w:r>
        <w:rPr>
          <w:lang w:val="en-US"/>
        </w:rPr>
        <w:t>Discussion</w:t>
      </w:r>
    </w:p>
    <w:p w14:paraId="2D0D5189" w14:textId="1EC4E0CA" w:rsidR="00C51EC1" w:rsidRDefault="00252BD1" w:rsidP="00C51EC1">
      <w:pPr>
        <w:rPr>
          <w:b/>
          <w:i/>
          <w:sz w:val="22"/>
          <w:lang w:val="en-US"/>
        </w:rPr>
      </w:pPr>
      <w:r>
        <w:rPr>
          <w:b/>
          <w:i/>
          <w:sz w:val="22"/>
          <w:lang w:val="en-US"/>
        </w:rPr>
        <w:t>Serving cell change:</w:t>
      </w:r>
    </w:p>
    <w:p w14:paraId="01F05C89" w14:textId="1988EB65" w:rsidR="00252BD1" w:rsidRDefault="00252BD1" w:rsidP="00C51EC1">
      <w:pPr>
        <w:rPr>
          <w:lang w:val="en-US"/>
        </w:rPr>
      </w:pPr>
      <w:r>
        <w:rPr>
          <w:lang w:val="en-US"/>
        </w:rPr>
        <w:t>In RAN1#96 meeting, the following agreement was made regarding serving cell change and TA validation of PUR [2]:</w:t>
      </w:r>
    </w:p>
    <w:p w14:paraId="0E203685" w14:textId="3A09F845" w:rsidR="00252BD1" w:rsidRDefault="00252BD1" w:rsidP="00C51EC1">
      <w:pPr>
        <w:rPr>
          <w:lang w:val="en-US"/>
        </w:rPr>
      </w:pPr>
      <w:r w:rsidRPr="0074147F">
        <w:rPr>
          <w:noProof/>
          <w:lang w:val="en-US" w:eastAsia="zh-CN"/>
        </w:rPr>
        <mc:AlternateContent>
          <mc:Choice Requires="wps">
            <w:drawing>
              <wp:inline distT="0" distB="0" distL="0" distR="0" wp14:anchorId="7D34AA2D" wp14:editId="7290DA0C">
                <wp:extent cx="5881420" cy="848563"/>
                <wp:effectExtent l="0" t="0" r="24130"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48563"/>
                        </a:xfrm>
                        <a:prstGeom prst="rect">
                          <a:avLst/>
                        </a:prstGeom>
                        <a:solidFill>
                          <a:srgbClr val="FFFFFF"/>
                        </a:solidFill>
                        <a:ln w="9525">
                          <a:solidFill>
                            <a:srgbClr val="000000"/>
                          </a:solidFill>
                          <a:miter lim="800000"/>
                          <a:headEnd/>
                          <a:tailEnd/>
                        </a:ln>
                      </wps:spPr>
                      <wps:txbx>
                        <w:txbxContent>
                          <w:p w14:paraId="77590B39" w14:textId="77777777" w:rsidR="00252BD1" w:rsidRPr="007B21B8" w:rsidRDefault="00252BD1" w:rsidP="00252BD1">
                            <w:pPr>
                              <w:spacing w:after="0"/>
                              <w:rPr>
                                <w:rFonts w:eastAsia="Batang"/>
                                <w:b/>
                                <w:highlight w:val="green"/>
                                <w:lang w:eastAsia="x-none"/>
                              </w:rPr>
                            </w:pPr>
                            <w:r w:rsidRPr="007B21B8">
                              <w:rPr>
                                <w:rFonts w:eastAsia="Batang"/>
                                <w:b/>
                                <w:highlight w:val="green"/>
                                <w:lang w:eastAsia="x-none"/>
                              </w:rPr>
                              <w:t>Agreement</w:t>
                            </w:r>
                          </w:p>
                          <w:p w14:paraId="2E107DC6" w14:textId="77777777" w:rsidR="00252BD1" w:rsidRPr="007B21B8" w:rsidRDefault="00252BD1" w:rsidP="00252BD1">
                            <w:pPr>
                              <w:spacing w:after="0"/>
                              <w:jc w:val="both"/>
                              <w:rPr>
                                <w:lang w:eastAsia="x-none"/>
                              </w:rPr>
                            </w:pPr>
                            <w:r w:rsidRPr="007B21B8">
                              <w:rPr>
                                <w:lang w:eastAsia="x-none"/>
                              </w:rPr>
                              <w:t>In idle mode, when the UE validates TA, the UE considers the TA for the previous serving cell as invalid if the serving cell changes</w:t>
                            </w:r>
                          </w:p>
                          <w:p w14:paraId="49B5D658" w14:textId="77777777" w:rsidR="00252BD1" w:rsidRPr="007B21B8" w:rsidRDefault="00252BD1" w:rsidP="00090928">
                            <w:pPr>
                              <w:numPr>
                                <w:ilvl w:val="0"/>
                                <w:numId w:val="8"/>
                              </w:numPr>
                              <w:spacing w:after="0"/>
                              <w:rPr>
                                <w:rFonts w:eastAsia="Batang"/>
                                <w:lang w:eastAsia="x-none"/>
                              </w:rPr>
                            </w:pPr>
                            <w:r w:rsidRPr="007B21B8">
                              <w:rPr>
                                <w:rFonts w:eastAsia="Batang"/>
                                <w:lang w:eastAsia="x-none"/>
                              </w:rPr>
                              <w:t>Above applies for the case where the UE is configured to use the serving cell change attribute</w:t>
                            </w:r>
                          </w:p>
                          <w:p w14:paraId="5BDC595F" w14:textId="77777777" w:rsidR="00252BD1" w:rsidRPr="00E7044A" w:rsidRDefault="00252BD1" w:rsidP="00252BD1">
                            <w:pPr>
                              <w:rPr>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7D34AA2D" id="_x0000_s1027" type="#_x0000_t202" style="width:463.1pt;height: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">
                <v:textbox>
                  <w:txbxContent>
                    <w:p w14:paraId="77590B39" w14:textId="77777777" w:rsidR="00252BD1" w:rsidRPr="007B21B8" w:rsidRDefault="00252BD1" w:rsidP="00252BD1">
                      <w:pPr>
                        <w:spacing w:after="0"/>
                        <w:rPr>
                          <w:rFonts w:eastAsia="Batang"/>
                          <w:b/>
                          <w:highlight w:val="green"/>
                          <w:lang w:eastAsia="x-none"/>
                        </w:rPr>
                      </w:pPr>
                      <w:r w:rsidRPr="007B21B8">
                        <w:rPr>
                          <w:rFonts w:eastAsia="Batang"/>
                          <w:b/>
                          <w:highlight w:val="green"/>
                          <w:lang w:eastAsia="x-none"/>
                        </w:rPr>
                        <w:t>Agreement</w:t>
                      </w:r>
                    </w:p>
                    <w:p w14:paraId="2E107DC6" w14:textId="77777777" w:rsidR="00252BD1" w:rsidRPr="007B21B8" w:rsidRDefault="00252BD1" w:rsidP="00252BD1">
                      <w:pPr>
                        <w:spacing w:after="0"/>
                        <w:jc w:val="both"/>
                        <w:rPr>
                          <w:lang w:eastAsia="x-none"/>
                        </w:rPr>
                      </w:pPr>
                      <w:r w:rsidRPr="007B21B8">
                        <w:rPr>
                          <w:lang w:eastAsia="x-none"/>
                        </w:rPr>
                        <w:t>In idle mode, when the UE validates TA, the UE considers the TA for the previous serving cell as invalid if the serving cell changes</w:t>
                      </w:r>
                    </w:p>
                    <w:p w14:paraId="49B5D658" w14:textId="77777777" w:rsidR="00252BD1" w:rsidRPr="007B21B8" w:rsidRDefault="00252BD1" w:rsidP="00090928">
                      <w:pPr>
                        <w:numPr>
                          <w:ilvl w:val="0"/>
                          <w:numId w:val="8"/>
                        </w:numPr>
                        <w:spacing w:after="0"/>
                        <w:rPr>
                          <w:rFonts w:eastAsia="Batang"/>
                          <w:lang w:eastAsia="x-none"/>
                        </w:rPr>
                      </w:pPr>
                      <w:r w:rsidRPr="007B21B8">
                        <w:rPr>
                          <w:rFonts w:eastAsia="Batang"/>
                          <w:lang w:eastAsia="x-none"/>
                        </w:rPr>
                        <w:t>Above applies for the case where the UE is configured to use the serving cell change attribute</w:t>
                      </w:r>
                    </w:p>
                    <w:p w14:paraId="5BDC595F" w14:textId="77777777" w:rsidR="00252BD1" w:rsidRPr="00E7044A" w:rsidRDefault="00252BD1" w:rsidP="00252BD1">
                      <w:pPr>
                        <w:rPr>
                          <w:sz w:val="18"/>
                          <w:szCs w:val="18"/>
                          <w:lang w:val="en-US"/>
                        </w:rPr>
                      </w:pPr>
                    </w:p>
                  </w:txbxContent>
                </v:textbox>
                <w10:anchorlock/>
              </v:shape>
            </w:pict>
          </mc:Fallback>
        </mc:AlternateContent>
      </w:r>
    </w:p>
    <w:p w14:paraId="3EDA0A40" w14:textId="77777777" w:rsidR="00252BD1" w:rsidRDefault="00252BD1" w:rsidP="00C51EC1">
      <w:pPr>
        <w:rPr>
          <w:lang w:val="en-US"/>
        </w:rPr>
      </w:pPr>
      <w:r>
        <w:rPr>
          <w:lang w:val="en-US"/>
        </w:rPr>
        <w:t>Hence, it has already been agreed that if UE is configured with PUR associated with a serving cell and its TA value, then a change in serving cell invalidates that TA.</w:t>
      </w:r>
    </w:p>
    <w:p w14:paraId="00339BE4" w14:textId="1BF8135A" w:rsidR="006C2FD5" w:rsidRPr="00252BD1" w:rsidRDefault="00252BD1" w:rsidP="00C51EC1">
      <w:pPr>
        <w:rPr>
          <w:b/>
          <w:lang w:val="en-US"/>
        </w:rPr>
      </w:pPr>
      <w:r w:rsidRPr="00252BD1">
        <w:rPr>
          <w:b/>
          <w:lang w:val="en-US"/>
        </w:rPr>
        <w:t>Observation 1.  If UE is configured with PUR associated with a serving cell and its TA value, then a change in serving cell invalidates that TA.</w:t>
      </w:r>
    </w:p>
    <w:p w14:paraId="00C30242" w14:textId="2D798E87" w:rsidR="00252BD1" w:rsidRDefault="00252BD1" w:rsidP="00C51EC1">
      <w:pPr>
        <w:rPr>
          <w:b/>
          <w:i/>
          <w:sz w:val="22"/>
          <w:lang w:val="en-US"/>
        </w:rPr>
      </w:pPr>
      <w:r>
        <w:rPr>
          <w:b/>
          <w:i/>
          <w:sz w:val="22"/>
          <w:lang w:val="en-US"/>
        </w:rPr>
        <w:t>Time alignment timer (TAT):</w:t>
      </w:r>
    </w:p>
    <w:p w14:paraId="2B5D97ED" w14:textId="0F3B0A0B" w:rsidR="00252BD1" w:rsidRDefault="006C2FD5" w:rsidP="00C51EC1">
      <w:pPr>
        <w:rPr>
          <w:lang w:val="en-US"/>
        </w:rPr>
      </w:pPr>
      <w:r>
        <w:rPr>
          <w:lang w:val="en-US"/>
        </w:rPr>
        <w:t>In RAN1#96 meeting, the following agreement was made regarding “PUR Time Alignment Timer” [2]:</w:t>
      </w:r>
    </w:p>
    <w:p w14:paraId="28F2913D" w14:textId="4B9D8809" w:rsidR="006C2FD5" w:rsidRDefault="006C2FD5" w:rsidP="00C51EC1">
      <w:pPr>
        <w:rPr>
          <w:lang w:val="en-US"/>
        </w:rPr>
      </w:pPr>
      <w:r w:rsidRPr="0074147F">
        <w:rPr>
          <w:noProof/>
          <w:lang w:val="en-US" w:eastAsia="zh-CN"/>
        </w:rPr>
        <mc:AlternateContent>
          <mc:Choice Requires="wps">
            <w:drawing>
              <wp:inline distT="0" distB="0" distL="0" distR="0" wp14:anchorId="09437545" wp14:editId="7BF68745">
                <wp:extent cx="5881420" cy="848563"/>
                <wp:effectExtent l="0" t="0" r="24130" b="279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48563"/>
                        </a:xfrm>
                        <a:prstGeom prst="rect">
                          <a:avLst/>
                        </a:prstGeom>
                        <a:solidFill>
                          <a:srgbClr val="FFFFFF"/>
                        </a:solidFill>
                        <a:ln w="9525">
                          <a:solidFill>
                            <a:srgbClr val="000000"/>
                          </a:solidFill>
                          <a:miter lim="800000"/>
                          <a:headEnd/>
                          <a:tailEnd/>
                        </a:ln>
                      </wps:spPr>
                      <wps:txbx>
                        <w:txbxContent>
                          <w:p w14:paraId="508E6485" w14:textId="77777777" w:rsidR="006C2FD5" w:rsidRPr="007B21B8" w:rsidRDefault="006C2FD5" w:rsidP="006C2FD5">
                            <w:pPr>
                              <w:spacing w:after="0"/>
                              <w:ind w:left="720" w:hanging="720"/>
                              <w:rPr>
                                <w:rFonts w:eastAsia="Batang"/>
                                <w:b/>
                                <w:highlight w:val="green"/>
                                <w:lang w:eastAsia="x-none"/>
                              </w:rPr>
                            </w:pPr>
                            <w:r w:rsidRPr="007B21B8">
                              <w:rPr>
                                <w:rFonts w:eastAsia="Batang"/>
                                <w:b/>
                                <w:highlight w:val="green"/>
                                <w:lang w:eastAsia="x-none"/>
                              </w:rPr>
                              <w:t xml:space="preserve">Agreement </w:t>
                            </w:r>
                          </w:p>
                          <w:p w14:paraId="01B32560" w14:textId="77777777" w:rsidR="006C2FD5" w:rsidRPr="007B21B8" w:rsidRDefault="006C2FD5" w:rsidP="006C2FD5">
                            <w:pPr>
                              <w:spacing w:after="0"/>
                              <w:ind w:left="720" w:hanging="720"/>
                              <w:rPr>
                                <w:rFonts w:eastAsia="Batang"/>
                                <w:lang w:val="en-US" w:eastAsia="x-none"/>
                              </w:rPr>
                            </w:pPr>
                            <w:r w:rsidRPr="007B21B8">
                              <w:rPr>
                                <w:rFonts w:eastAsia="Batang"/>
                                <w:lang w:val="en-US" w:eastAsia="x-none"/>
                              </w:rPr>
                              <w:t>In idle mode, the TA validation configuration can include “PUR Time Alignment Timer”</w:t>
                            </w:r>
                          </w:p>
                          <w:p w14:paraId="50AD8C4C"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Where the UE considers the TA as invalid if the (current time – time at last TA update) &gt; the PUR Time Alignment Timer</w:t>
                            </w:r>
                          </w:p>
                          <w:p w14:paraId="2CEC10D6"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 xml:space="preserve">Details on how to specify the “PUR Time Alignment Timer” is up to RAN2  </w:t>
                            </w:r>
                          </w:p>
                          <w:p w14:paraId="69300E0F" w14:textId="77777777" w:rsidR="006C2FD5" w:rsidRPr="00E7044A" w:rsidRDefault="006C2FD5" w:rsidP="006C2FD5">
                            <w:pPr>
                              <w:rPr>
                                <w:sz w:val="18"/>
                                <w:szCs w:val="18"/>
                                <w:lang w:val="en-US"/>
                              </w:rPr>
                            </w:pPr>
                          </w:p>
                        </w:txbxContent>
                      </wps:txbx>
                      <wps:bodyPr rot="0" vert="horz" wrap="square" lIns="91440" tIns="45720" rIns="91440" bIns="45720" anchor="t" anchorCtr="0">
                        <a:noAutofit/>
                      </wps:bodyPr>
                    </wps:wsp>
                  </a:graphicData>
                </a:graphic>
              </wp:inline>
            </w:drawing>
          </mc:Choice>
          <mc:Fallback>
            <w:pict>
              <v:shape w14:anchorId="09437545" id="_x0000_s1028" type="#_x0000_t202" style="width:463.1pt;height:6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">
                <v:textbox>
                  <w:txbxContent>
                    <w:p w14:paraId="508E6485" w14:textId="77777777" w:rsidR="006C2FD5" w:rsidRPr="007B21B8" w:rsidRDefault="006C2FD5" w:rsidP="006C2FD5">
                      <w:pPr>
                        <w:spacing w:after="0"/>
                        <w:ind w:left="720" w:hanging="720"/>
                        <w:rPr>
                          <w:rFonts w:eastAsia="Batang"/>
                          <w:b/>
                          <w:highlight w:val="green"/>
                          <w:lang w:eastAsia="x-none"/>
                        </w:rPr>
                      </w:pPr>
                      <w:r w:rsidRPr="007B21B8">
                        <w:rPr>
                          <w:rFonts w:eastAsia="Batang"/>
                          <w:b/>
                          <w:highlight w:val="green"/>
                          <w:lang w:eastAsia="x-none"/>
                        </w:rPr>
                        <w:t xml:space="preserve">Agreement </w:t>
                      </w:r>
                    </w:p>
                    <w:p w14:paraId="01B32560" w14:textId="77777777" w:rsidR="006C2FD5" w:rsidRPr="007B21B8" w:rsidRDefault="006C2FD5" w:rsidP="006C2FD5">
                      <w:pPr>
                        <w:spacing w:after="0"/>
                        <w:ind w:left="720" w:hanging="720"/>
                        <w:rPr>
                          <w:rFonts w:eastAsia="Batang"/>
                          <w:lang w:val="en-US" w:eastAsia="x-none"/>
                        </w:rPr>
                      </w:pPr>
                      <w:r w:rsidRPr="007B21B8">
                        <w:rPr>
                          <w:rFonts w:eastAsia="Batang"/>
                          <w:lang w:val="en-US" w:eastAsia="x-none"/>
                        </w:rPr>
                        <w:t>In idle mode, the TA validation configuration can include “PUR Time Alignment Timer”</w:t>
                      </w:r>
                    </w:p>
                    <w:p w14:paraId="50AD8C4C"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Where the UE considers the TA as invalid if the (current time – time at last TA update) &gt; the PUR Time Alignment Timer</w:t>
                      </w:r>
                    </w:p>
                    <w:p w14:paraId="2CEC10D6" w14:textId="77777777" w:rsidR="006C2FD5" w:rsidRPr="007B21B8" w:rsidRDefault="006C2FD5" w:rsidP="00090928">
                      <w:pPr>
                        <w:numPr>
                          <w:ilvl w:val="0"/>
                          <w:numId w:val="8"/>
                        </w:numPr>
                        <w:spacing w:after="0"/>
                        <w:rPr>
                          <w:rFonts w:eastAsia="Batang"/>
                          <w:lang w:val="en-US" w:eastAsia="x-none"/>
                        </w:rPr>
                      </w:pPr>
                      <w:r w:rsidRPr="007B21B8">
                        <w:rPr>
                          <w:rFonts w:eastAsia="Batang"/>
                          <w:lang w:val="en-US" w:eastAsia="x-none"/>
                        </w:rPr>
                        <w:t xml:space="preserve">Details on how to specify the “PUR Time Alignment Timer” is up to RAN2  </w:t>
                      </w:r>
                    </w:p>
                    <w:p w14:paraId="69300E0F" w14:textId="77777777" w:rsidR="006C2FD5" w:rsidRPr="00E7044A" w:rsidRDefault="006C2FD5" w:rsidP="006C2FD5">
                      <w:pPr>
                        <w:rPr>
                          <w:sz w:val="18"/>
                          <w:szCs w:val="18"/>
                          <w:lang w:val="en-US"/>
                        </w:rPr>
                      </w:pPr>
                    </w:p>
                  </w:txbxContent>
                </v:textbox>
                <w10:anchorlock/>
              </v:shape>
            </w:pict>
          </mc:Fallback>
        </mc:AlternateContent>
      </w:r>
    </w:p>
    <w:p w14:paraId="7578A944" w14:textId="0C6FF299" w:rsidR="006C2FD5" w:rsidRDefault="006C2FD5" w:rsidP="00C51EC1">
      <w:pPr>
        <w:rPr>
          <w:bCs/>
          <w:lang w:val="en-US"/>
        </w:rPr>
      </w:pPr>
      <w:r>
        <w:rPr>
          <w:lang w:val="en-US"/>
        </w:rPr>
        <w:lastRenderedPageBreak/>
        <w:t xml:space="preserve">Hence, RAN4 does not need to define </w:t>
      </w:r>
      <w:r w:rsidR="00C24913" w:rsidRPr="00C24913">
        <w:rPr>
          <w:bCs/>
          <w:lang w:val="en-US"/>
        </w:rPr>
        <w:t>threshold for the time period during which TA is considered as valid</w:t>
      </w:r>
      <w:r>
        <w:rPr>
          <w:bCs/>
          <w:lang w:val="en-US"/>
        </w:rPr>
        <w:t xml:space="preserve"> as this threshold will be configured by network and signaled to UE. </w:t>
      </w:r>
    </w:p>
    <w:p w14:paraId="4D4AA1DA" w14:textId="7FF47A4A" w:rsidR="006C2FD5" w:rsidRPr="006C2FD5" w:rsidRDefault="006C2FD5" w:rsidP="006C2FD5">
      <w:pPr>
        <w:spacing w:after="0"/>
        <w:rPr>
          <w:rFonts w:eastAsia="Batang"/>
          <w:b/>
          <w:lang w:val="en-US" w:eastAsia="x-none"/>
        </w:rPr>
      </w:pPr>
      <w:r w:rsidRPr="006C2FD5">
        <w:rPr>
          <w:b/>
          <w:bCs/>
          <w:lang w:val="en-US"/>
        </w:rPr>
        <w:t xml:space="preserve">Observation 2. TA validation configuration can include “PUR Time Alignment Timer” </w:t>
      </w:r>
      <w:r w:rsidRPr="006C2FD5">
        <w:rPr>
          <w:rFonts w:eastAsia="Batang"/>
          <w:b/>
          <w:lang w:val="en-US" w:eastAsia="x-none"/>
        </w:rPr>
        <w:t>where the UE considers the TA as invalid if the (current time – time at last TA update) &gt; the PUR Time Alignment Timer.</w:t>
      </w:r>
    </w:p>
    <w:p w14:paraId="61045D78" w14:textId="7F82B6B5" w:rsidR="006C2FD5" w:rsidRPr="006C2FD5" w:rsidRDefault="006C2FD5" w:rsidP="006C2FD5">
      <w:pPr>
        <w:spacing w:after="0"/>
        <w:rPr>
          <w:rFonts w:eastAsia="Batang"/>
          <w:b/>
          <w:lang w:val="en-US" w:eastAsia="x-none"/>
        </w:rPr>
      </w:pPr>
    </w:p>
    <w:p w14:paraId="3DBA7CE6" w14:textId="492DE69D" w:rsidR="006C2FD5" w:rsidRPr="006C2FD5" w:rsidRDefault="006C2FD5" w:rsidP="00C51EC1">
      <w:pPr>
        <w:rPr>
          <w:b/>
          <w:bCs/>
          <w:lang w:val="en-US"/>
        </w:rPr>
      </w:pPr>
      <w:r w:rsidRPr="006C2FD5">
        <w:rPr>
          <w:rFonts w:eastAsia="Batang"/>
          <w:b/>
          <w:lang w:val="en-US" w:eastAsia="x-none"/>
        </w:rPr>
        <w:t xml:space="preserve">Proposal </w:t>
      </w:r>
      <w:r>
        <w:rPr>
          <w:rFonts w:eastAsia="Batang"/>
          <w:b/>
          <w:lang w:val="en-US" w:eastAsia="x-none"/>
        </w:rPr>
        <w:t>1</w:t>
      </w:r>
      <w:r w:rsidRPr="006C2FD5">
        <w:rPr>
          <w:rFonts w:eastAsia="Batang"/>
          <w:b/>
          <w:lang w:val="en-US" w:eastAsia="x-none"/>
        </w:rPr>
        <w:t xml:space="preserve">. RAN4 need not define a threshold for the </w:t>
      </w:r>
      <w:r w:rsidR="00C24913" w:rsidRPr="00C24913">
        <w:rPr>
          <w:b/>
          <w:bCs/>
          <w:lang w:val="en-US"/>
        </w:rPr>
        <w:t>time period during which TA is considered as valid</w:t>
      </w:r>
      <w:r w:rsidRPr="006C2FD5">
        <w:rPr>
          <w:b/>
          <w:bCs/>
          <w:lang w:val="en-US"/>
        </w:rPr>
        <w:t xml:space="preserve"> as this threshold will be configured by network and signaled to UE. </w:t>
      </w:r>
    </w:p>
    <w:p w14:paraId="768FEBFA" w14:textId="49462F1A" w:rsidR="00252BD1" w:rsidRDefault="00252BD1" w:rsidP="00C51EC1">
      <w:pPr>
        <w:rPr>
          <w:b/>
          <w:i/>
          <w:sz w:val="22"/>
          <w:lang w:val="en-US"/>
        </w:rPr>
      </w:pPr>
      <w:r>
        <w:rPr>
          <w:b/>
          <w:i/>
          <w:sz w:val="22"/>
          <w:lang w:val="en-US"/>
        </w:rPr>
        <w:t xml:space="preserve">Serving cell </w:t>
      </w:r>
      <w:r w:rsidR="007274D7">
        <w:rPr>
          <w:b/>
          <w:i/>
          <w:sz w:val="22"/>
          <w:lang w:val="en-US"/>
        </w:rPr>
        <w:t>NRSRP</w:t>
      </w:r>
      <w:r>
        <w:rPr>
          <w:b/>
          <w:i/>
          <w:sz w:val="22"/>
          <w:lang w:val="en-US"/>
        </w:rPr>
        <w:t xml:space="preserve"> change:</w:t>
      </w:r>
    </w:p>
    <w:p w14:paraId="790F58D1" w14:textId="34A1FC9A" w:rsidR="00252BD1" w:rsidRDefault="00CB4D18" w:rsidP="00C51EC1">
      <w:pPr>
        <w:rPr>
          <w:lang w:val="en-US"/>
        </w:rPr>
      </w:pPr>
      <w:r>
        <w:rPr>
          <w:lang w:val="en-US"/>
        </w:rPr>
        <w:t>In [</w:t>
      </w:r>
      <w:r w:rsidR="007274D7">
        <w:rPr>
          <w:lang w:val="en-US"/>
        </w:rPr>
        <w:t>3</w:t>
      </w:r>
      <w:r>
        <w:rPr>
          <w:lang w:val="en-US"/>
        </w:rPr>
        <w:t xml:space="preserve">], </w:t>
      </w:r>
      <w:r w:rsidR="005A39BD">
        <w:rPr>
          <w:lang w:val="en-US"/>
        </w:rPr>
        <w:t xml:space="preserve">it was argued that </w:t>
      </w:r>
      <w:r w:rsidR="007274D7">
        <w:rPr>
          <w:lang w:val="en-US"/>
        </w:rPr>
        <w:t>NRSRP</w:t>
      </w:r>
      <w:r w:rsidR="005A39BD">
        <w:rPr>
          <w:lang w:val="en-US"/>
        </w:rPr>
        <w:t xml:space="preserve"> change by itself cannot be a reliable method of invalidating TA as there is a non-linear relationship between </w:t>
      </w:r>
      <w:r w:rsidR="007274D7">
        <w:rPr>
          <w:lang w:val="en-US"/>
        </w:rPr>
        <w:t>NRSRP</w:t>
      </w:r>
      <w:r w:rsidR="005A39BD">
        <w:rPr>
          <w:lang w:val="en-US"/>
        </w:rPr>
        <w:t xml:space="preserve"> changes and TA changes. Depending on the initial TA value, an </w:t>
      </w:r>
      <w:r w:rsidR="007274D7">
        <w:rPr>
          <w:lang w:val="en-US"/>
        </w:rPr>
        <w:t>NRSRP</w:t>
      </w:r>
      <w:r w:rsidR="005A39BD">
        <w:rPr>
          <w:lang w:val="en-US"/>
        </w:rPr>
        <w:t xml:space="preserve"> change </w:t>
      </w:r>
      <w:r w:rsidR="005A39BD">
        <w:rPr>
          <w:rStyle w:val="IvDbodytextChar"/>
        </w:rPr>
        <w:sym w:font="Symbol" w:char="F044"/>
      </w:r>
      <w:r w:rsidR="007274D7">
        <w:rPr>
          <w:rStyle w:val="IvDbodytextChar"/>
          <w:vertAlign w:val="subscript"/>
        </w:rPr>
        <w:t>NRSRP</w:t>
      </w:r>
      <w:r w:rsidR="005A39BD">
        <w:rPr>
          <w:rStyle w:val="IvDbodytextChar"/>
          <w:vertAlign w:val="subscript"/>
        </w:rPr>
        <w:t xml:space="preserve">  </w:t>
      </w:r>
      <w:r w:rsidR="005A39BD">
        <w:rPr>
          <w:lang w:val="en-US"/>
        </w:rPr>
        <w:t xml:space="preserve">can be interpreted as the TA change either within or beyond a certain acceptable window (e.g., half of CP window). </w:t>
      </w:r>
      <w:r w:rsidR="00BF494A">
        <w:rPr>
          <w:lang w:val="en-US"/>
        </w:rPr>
        <w:t>Consequently, it was proposed to validate TA only when</w:t>
      </w:r>
      <w:r w:rsidR="00B442E9">
        <w:rPr>
          <w:lang w:val="en-US"/>
        </w:rPr>
        <w:t xml:space="preserve"> </w:t>
      </w:r>
      <w:r w:rsidR="007274D7">
        <w:rPr>
          <w:lang w:val="en-US"/>
        </w:rPr>
        <w:t>NRSRP</w:t>
      </w:r>
      <w:r w:rsidR="00B442E9">
        <w:rPr>
          <w:lang w:val="en-US"/>
        </w:rPr>
        <w:t xml:space="preserve"> change is below a threshold and received TA is less than a TAmax threshold. While the central argument of [</w:t>
      </w:r>
      <w:r w:rsidR="007274D7">
        <w:rPr>
          <w:lang w:val="en-US"/>
        </w:rPr>
        <w:t>3</w:t>
      </w:r>
      <w:r w:rsidR="00B442E9">
        <w:rPr>
          <w:lang w:val="en-US"/>
        </w:rPr>
        <w:t>] is valid, we believe there are counter-arguments and complications as noted below:</w:t>
      </w:r>
    </w:p>
    <w:p w14:paraId="7BAA3166" w14:textId="325A9138" w:rsidR="00B442E9" w:rsidRDefault="001A177A" w:rsidP="00090928">
      <w:pPr>
        <w:pStyle w:val="ListParagraph"/>
        <w:numPr>
          <w:ilvl w:val="0"/>
          <w:numId w:val="9"/>
        </w:numPr>
        <w:rPr>
          <w:sz w:val="20"/>
        </w:rPr>
      </w:pPr>
      <w:r w:rsidRPr="001A177A">
        <w:rPr>
          <w:sz w:val="20"/>
        </w:rPr>
        <w:t xml:space="preserve">The assumption of free space path loss (FSPL) is not necessarily valid to link </w:t>
      </w:r>
      <w:r w:rsidR="007274D7">
        <w:rPr>
          <w:sz w:val="20"/>
        </w:rPr>
        <w:t>NRSRP</w:t>
      </w:r>
      <w:r w:rsidRPr="001A177A">
        <w:rPr>
          <w:sz w:val="20"/>
        </w:rPr>
        <w:t xml:space="preserve"> change and TA together. A UE can be in deep coverage region (e.g., basement) and experience low </w:t>
      </w:r>
      <w:r w:rsidR="007274D7">
        <w:rPr>
          <w:sz w:val="20"/>
        </w:rPr>
        <w:t>NRSRP</w:t>
      </w:r>
      <w:r w:rsidRPr="001A177A">
        <w:rPr>
          <w:sz w:val="20"/>
        </w:rPr>
        <w:t xml:space="preserve"> and yet have a small TA.</w:t>
      </w:r>
    </w:p>
    <w:p w14:paraId="124D22A7" w14:textId="77777777" w:rsidR="001A177A" w:rsidRPr="001A177A" w:rsidRDefault="001A177A" w:rsidP="001A177A">
      <w:pPr>
        <w:pStyle w:val="ListParagraph"/>
        <w:rPr>
          <w:sz w:val="20"/>
        </w:rPr>
      </w:pPr>
    </w:p>
    <w:p w14:paraId="0248E7EB" w14:textId="6F3A62B7" w:rsidR="001A177A" w:rsidRPr="001A177A" w:rsidRDefault="001A177A" w:rsidP="00090928">
      <w:pPr>
        <w:pStyle w:val="ListParagraph"/>
        <w:numPr>
          <w:ilvl w:val="0"/>
          <w:numId w:val="9"/>
        </w:numPr>
        <w:rPr>
          <w:sz w:val="20"/>
        </w:rPr>
      </w:pPr>
      <w:r>
        <w:rPr>
          <w:sz w:val="20"/>
        </w:rPr>
        <w:t xml:space="preserve">Even if FSPL is assumed for simplicity, the ½ CP window threshold for TA can be quite suboptimal for UE’s with close to zero TA. Such UE’s can experience a much larger </w:t>
      </w:r>
      <w:r w:rsidR="007274D7">
        <w:rPr>
          <w:sz w:val="20"/>
        </w:rPr>
        <w:t>NRSRP</w:t>
      </w:r>
      <w:r>
        <w:rPr>
          <w:sz w:val="20"/>
        </w:rPr>
        <w:t xml:space="preserve"> difference (&gt;10 dB) and still be within CP window whereas a UE with a TA value already near ½ CP window will need to limit </w:t>
      </w:r>
      <w:r w:rsidR="007274D7">
        <w:rPr>
          <w:sz w:val="20"/>
        </w:rPr>
        <w:t>NRSRP</w:t>
      </w:r>
      <w:r>
        <w:rPr>
          <w:sz w:val="20"/>
        </w:rPr>
        <w:t xml:space="preserve"> difference to a much smaller value to be within CP window. A single </w:t>
      </w:r>
      <w:r w:rsidR="007274D7">
        <w:rPr>
          <w:sz w:val="20"/>
        </w:rPr>
        <w:t>NRSRP</w:t>
      </w:r>
      <w:r>
        <w:rPr>
          <w:sz w:val="20"/>
        </w:rPr>
        <w:t xml:space="preserve"> and TA threshold is suboptimal. </w:t>
      </w:r>
    </w:p>
    <w:p w14:paraId="4162B1B9" w14:textId="77777777" w:rsidR="001A177A" w:rsidRDefault="001A177A" w:rsidP="001A177A">
      <w:pPr>
        <w:pStyle w:val="ListParagraph"/>
        <w:rPr>
          <w:sz w:val="20"/>
        </w:rPr>
      </w:pPr>
    </w:p>
    <w:p w14:paraId="79BABB22" w14:textId="6918383B" w:rsidR="001A177A" w:rsidRDefault="007274D7" w:rsidP="00090928">
      <w:pPr>
        <w:pStyle w:val="ListParagraph"/>
        <w:numPr>
          <w:ilvl w:val="0"/>
          <w:numId w:val="9"/>
        </w:numPr>
        <w:rPr>
          <w:sz w:val="20"/>
        </w:rPr>
      </w:pPr>
      <w:r>
        <w:rPr>
          <w:sz w:val="20"/>
        </w:rPr>
        <w:t>NRSRP</w:t>
      </w:r>
      <w:r w:rsidR="001A177A">
        <w:rPr>
          <w:sz w:val="20"/>
        </w:rPr>
        <w:t xml:space="preserve"> estimation accuracy degrades as SNR degrades. In Section 9.1.2</w:t>
      </w:r>
      <w:r w:rsidR="006D7122">
        <w:rPr>
          <w:sz w:val="20"/>
        </w:rPr>
        <w:t>2</w:t>
      </w:r>
      <w:r w:rsidR="001A177A">
        <w:rPr>
          <w:sz w:val="20"/>
        </w:rPr>
        <w:t xml:space="preserve"> of 36.133, </w:t>
      </w:r>
      <w:r w:rsidR="006D7122">
        <w:rPr>
          <w:sz w:val="20"/>
        </w:rPr>
        <w:t>absolute</w:t>
      </w:r>
      <w:r w:rsidR="001A177A">
        <w:rPr>
          <w:sz w:val="20"/>
        </w:rPr>
        <w:t xml:space="preserve"> </w:t>
      </w:r>
      <w:r>
        <w:rPr>
          <w:sz w:val="20"/>
        </w:rPr>
        <w:t>NRSRP</w:t>
      </w:r>
      <w:r w:rsidR="001A177A">
        <w:rPr>
          <w:sz w:val="20"/>
        </w:rPr>
        <w:t xml:space="preserve"> accuracy requirement is </w:t>
      </w:r>
      <w:r w:rsidR="00024C52">
        <w:rPr>
          <w:sz w:val="20"/>
        </w:rPr>
        <w:t xml:space="preserve">+/- </w:t>
      </w:r>
      <w:r w:rsidR="006D7122">
        <w:rPr>
          <w:sz w:val="20"/>
        </w:rPr>
        <w:t>6</w:t>
      </w:r>
      <w:r w:rsidR="00024C52">
        <w:rPr>
          <w:sz w:val="20"/>
        </w:rPr>
        <w:t xml:space="preserve"> dB for Es/Iot &gt; -</w:t>
      </w:r>
      <w:r w:rsidR="006D7122">
        <w:rPr>
          <w:sz w:val="20"/>
        </w:rPr>
        <w:t>6</w:t>
      </w:r>
      <w:r w:rsidR="00024C52">
        <w:rPr>
          <w:sz w:val="20"/>
        </w:rPr>
        <w:t xml:space="preserve"> dB and +/- </w:t>
      </w:r>
      <w:r w:rsidR="006D7122">
        <w:rPr>
          <w:sz w:val="20"/>
        </w:rPr>
        <w:t>10.3</w:t>
      </w:r>
      <w:r w:rsidR="00024C52">
        <w:rPr>
          <w:sz w:val="20"/>
        </w:rPr>
        <w:t xml:space="preserve"> dB for Es/Iot &lt; -</w:t>
      </w:r>
      <w:r w:rsidR="006D7122">
        <w:rPr>
          <w:sz w:val="20"/>
        </w:rPr>
        <w:t>6</w:t>
      </w:r>
      <w:r w:rsidR="00024C52">
        <w:rPr>
          <w:sz w:val="20"/>
        </w:rPr>
        <w:t xml:space="preserve"> dB. Hence, even with the assumption of FSPL, a UE in deep coverage mode and rather larger TA should be allowed more margin in </w:t>
      </w:r>
      <w:r>
        <w:rPr>
          <w:sz w:val="20"/>
        </w:rPr>
        <w:t>NRSRP</w:t>
      </w:r>
      <w:r w:rsidR="00024C52">
        <w:rPr>
          <w:sz w:val="20"/>
        </w:rPr>
        <w:t xml:space="preserve"> change to account for estimation accuracy compared to another UE in better coverage and smaller TA. </w:t>
      </w:r>
    </w:p>
    <w:p w14:paraId="4186BEB0" w14:textId="27A42374" w:rsidR="00024C52" w:rsidRDefault="00024C52" w:rsidP="00024C52"/>
    <w:p w14:paraId="5EF0DED3" w14:textId="57677645" w:rsidR="00024C52" w:rsidRPr="00FE74F3" w:rsidRDefault="00024C52" w:rsidP="00024C52">
      <w:pPr>
        <w:rPr>
          <w:b/>
        </w:rPr>
      </w:pPr>
      <w:r w:rsidRPr="00FE74F3">
        <w:rPr>
          <w:b/>
        </w:rPr>
        <w:t xml:space="preserve">Observation 3. Regarding qualifying </w:t>
      </w:r>
      <w:r w:rsidR="007274D7">
        <w:rPr>
          <w:b/>
        </w:rPr>
        <w:t>NRSRP</w:t>
      </w:r>
      <w:r w:rsidRPr="00FE74F3">
        <w:rPr>
          <w:b/>
        </w:rPr>
        <w:t xml:space="preserve"> change additionally with a TA threshold:</w:t>
      </w:r>
    </w:p>
    <w:p w14:paraId="5A808A51" w14:textId="01D74727" w:rsidR="00024C52" w:rsidRPr="00FE74F3" w:rsidRDefault="00024C52" w:rsidP="00090928">
      <w:pPr>
        <w:pStyle w:val="ListParagraph"/>
        <w:numPr>
          <w:ilvl w:val="0"/>
          <w:numId w:val="9"/>
        </w:numPr>
        <w:rPr>
          <w:b/>
          <w:sz w:val="20"/>
          <w:szCs w:val="20"/>
        </w:rPr>
      </w:pPr>
      <w:r w:rsidRPr="00FE74F3">
        <w:rPr>
          <w:b/>
          <w:sz w:val="20"/>
          <w:szCs w:val="20"/>
        </w:rPr>
        <w:t xml:space="preserve">FSPL is not necessarily valid to link </w:t>
      </w:r>
      <w:r w:rsidR="007274D7">
        <w:rPr>
          <w:b/>
          <w:sz w:val="20"/>
          <w:szCs w:val="20"/>
        </w:rPr>
        <w:t>NRSRP</w:t>
      </w:r>
      <w:r w:rsidRPr="00FE74F3">
        <w:rPr>
          <w:b/>
          <w:sz w:val="20"/>
          <w:szCs w:val="20"/>
        </w:rPr>
        <w:t xml:space="preserve"> change and TA together. A UE can be in deep coverage region (e.g., basement) and experience low </w:t>
      </w:r>
      <w:r w:rsidR="007274D7">
        <w:rPr>
          <w:b/>
          <w:sz w:val="20"/>
          <w:szCs w:val="20"/>
        </w:rPr>
        <w:t>NRSRP</w:t>
      </w:r>
      <w:r w:rsidRPr="00FE74F3">
        <w:rPr>
          <w:b/>
          <w:sz w:val="20"/>
          <w:szCs w:val="20"/>
        </w:rPr>
        <w:t xml:space="preserve"> and yet have a small TA.</w:t>
      </w:r>
    </w:p>
    <w:p w14:paraId="5B70BD7A" w14:textId="5B05EFF0" w:rsidR="00024C52" w:rsidRPr="00FE74F3" w:rsidRDefault="00024C52" w:rsidP="00090928">
      <w:pPr>
        <w:pStyle w:val="ListParagraph"/>
        <w:numPr>
          <w:ilvl w:val="0"/>
          <w:numId w:val="10"/>
        </w:numPr>
        <w:rPr>
          <w:b/>
          <w:sz w:val="20"/>
          <w:szCs w:val="20"/>
        </w:rPr>
      </w:pPr>
      <w:r w:rsidRPr="00FE74F3">
        <w:rPr>
          <w:b/>
          <w:sz w:val="20"/>
          <w:szCs w:val="20"/>
        </w:rPr>
        <w:t xml:space="preserve">A single </w:t>
      </w:r>
      <w:r w:rsidR="007274D7">
        <w:rPr>
          <w:b/>
          <w:sz w:val="20"/>
          <w:szCs w:val="20"/>
        </w:rPr>
        <w:t>NRSRP</w:t>
      </w:r>
      <w:r w:rsidRPr="00FE74F3">
        <w:rPr>
          <w:b/>
          <w:sz w:val="20"/>
          <w:szCs w:val="20"/>
        </w:rPr>
        <w:t xml:space="preserve"> and TA threshold is suboptimal. A UE with TA close to zero can experience a much larger </w:t>
      </w:r>
      <w:r w:rsidR="007274D7">
        <w:rPr>
          <w:b/>
          <w:sz w:val="20"/>
          <w:szCs w:val="20"/>
        </w:rPr>
        <w:t>NRSRP</w:t>
      </w:r>
      <w:r w:rsidRPr="00FE74F3">
        <w:rPr>
          <w:b/>
          <w:sz w:val="20"/>
          <w:szCs w:val="20"/>
        </w:rPr>
        <w:t xml:space="preserve"> variation compared to another UE with TA near ½ CP window.</w:t>
      </w:r>
    </w:p>
    <w:p w14:paraId="473CBE60" w14:textId="5099289F" w:rsidR="00024C52" w:rsidRPr="00FE74F3" w:rsidRDefault="007274D7" w:rsidP="00090928">
      <w:pPr>
        <w:pStyle w:val="ListParagraph"/>
        <w:numPr>
          <w:ilvl w:val="0"/>
          <w:numId w:val="10"/>
        </w:numPr>
        <w:rPr>
          <w:b/>
          <w:sz w:val="20"/>
          <w:szCs w:val="20"/>
        </w:rPr>
      </w:pPr>
      <w:r>
        <w:rPr>
          <w:b/>
          <w:sz w:val="20"/>
          <w:szCs w:val="20"/>
        </w:rPr>
        <w:t>NRSRP</w:t>
      </w:r>
      <w:r w:rsidR="00024C52" w:rsidRPr="00FE74F3">
        <w:rPr>
          <w:b/>
          <w:sz w:val="20"/>
          <w:szCs w:val="20"/>
        </w:rPr>
        <w:t xml:space="preserve"> estimation accuracy degrades as SNR degrades. Therefore, even with FSPL assumption, a UE with </w:t>
      </w:r>
      <w:r w:rsidR="00FE74F3" w:rsidRPr="00FE74F3">
        <w:rPr>
          <w:b/>
          <w:sz w:val="20"/>
          <w:szCs w:val="20"/>
        </w:rPr>
        <w:t xml:space="preserve">larger TA value (farther from eNB) should be allowed more margin in </w:t>
      </w:r>
      <w:r>
        <w:rPr>
          <w:b/>
          <w:sz w:val="20"/>
          <w:szCs w:val="20"/>
        </w:rPr>
        <w:t>NRSRP</w:t>
      </w:r>
      <w:r w:rsidR="00FE74F3" w:rsidRPr="00FE74F3">
        <w:rPr>
          <w:b/>
          <w:sz w:val="20"/>
          <w:szCs w:val="20"/>
        </w:rPr>
        <w:t xml:space="preserve"> change to account for estimation accuracy compared to another UE in better coverage and smaller TA. </w:t>
      </w:r>
    </w:p>
    <w:p w14:paraId="177F3897" w14:textId="1B71F717" w:rsidR="00FE74F3" w:rsidRDefault="00FE74F3" w:rsidP="00FE74F3"/>
    <w:p w14:paraId="323732D5" w14:textId="5CC16D53" w:rsidR="00621A0F" w:rsidRDefault="00621A0F" w:rsidP="00FE74F3">
      <w:r>
        <w:t>We believe the NRSRP estimation accuracy, particularly in poor SNR conditions, does not make it a reliable method for validating TA. Even in static channel conditions, successive NRSRP estimates can be several dBs off due to low processing gain and sparse NRS RE’s. Furthermore, we believe UE s</w:t>
      </w:r>
      <w:r w:rsidR="0082399F">
        <w:t>hould not be asked to perform additional NRSRP measurements compared to existing requirements just for the purpose of supporting TA validation. Particularly in idle mode, additional measurements have adverse impacts on UE power consumption.</w:t>
      </w:r>
    </w:p>
    <w:p w14:paraId="672B4E65" w14:textId="67FCAA2C" w:rsidR="0082399F" w:rsidRPr="0082399F" w:rsidRDefault="0082399F" w:rsidP="00FE74F3">
      <w:pPr>
        <w:rPr>
          <w:b/>
        </w:rPr>
      </w:pPr>
      <w:r w:rsidRPr="0082399F">
        <w:rPr>
          <w:b/>
        </w:rPr>
        <w:t>Proposal 2. UE should not be asked to perform additional NRSRP measurements compared to existing requirements just for the purpose of supporting TA validation. Particularly in idle mode, additional measurements have adverse impacts on UE power consumption.</w:t>
      </w:r>
    </w:p>
    <w:p w14:paraId="3B4A2BA1" w14:textId="5E30B5AB" w:rsidR="00FE74F3" w:rsidRDefault="0082399F" w:rsidP="00FE74F3">
      <w:r>
        <w:t>If NRSRP change is to be used for TA validation despite</w:t>
      </w:r>
      <w:r w:rsidR="00FE74F3">
        <w:t xml:space="preserve"> the above arguments, we believe the network is better positioned to configure a UE with threshold(s) for </w:t>
      </w:r>
      <w:r w:rsidR="007274D7">
        <w:t>NRSRP</w:t>
      </w:r>
      <w:r w:rsidR="00FE74F3">
        <w:t xml:space="preserve"> change as at the time of configuring TA validation (PUR), it has the knowledge of its TA, coverage, mobility (if any), and other factors that may impact TA validation.</w:t>
      </w:r>
      <w:r w:rsidR="00332F53">
        <w:t xml:space="preserve">  More than one threshold can be signalled to UE to account for changes in coverage in idle mode not known to eNB. In selecting the value of threshold(s), the absolute</w:t>
      </w:r>
      <w:r w:rsidR="001960E9">
        <w:t xml:space="preserve"> </w:t>
      </w:r>
      <w:r w:rsidR="007274D7">
        <w:t>NRSRP</w:t>
      </w:r>
      <w:r w:rsidR="00332F53">
        <w:t xml:space="preserve"> accuracy requirements in Section 9.1.2</w:t>
      </w:r>
      <w:r w:rsidR="006D7122">
        <w:t>2</w:t>
      </w:r>
      <w:r w:rsidR="00332F53">
        <w:t xml:space="preserve"> of 36.133 </w:t>
      </w:r>
      <w:r w:rsidR="00621A0F">
        <w:t xml:space="preserve">should </w:t>
      </w:r>
      <w:r w:rsidR="00332F53">
        <w:t xml:space="preserve">be used as guidelines. </w:t>
      </w:r>
    </w:p>
    <w:p w14:paraId="7E20FAC1" w14:textId="25A162C7" w:rsidR="00FE74F3" w:rsidRPr="00332F53" w:rsidRDefault="00332F53" w:rsidP="00FE74F3">
      <w:pPr>
        <w:rPr>
          <w:b/>
        </w:rPr>
      </w:pPr>
      <w:r w:rsidRPr="00332F53">
        <w:rPr>
          <w:b/>
        </w:rPr>
        <w:lastRenderedPageBreak/>
        <w:t xml:space="preserve">Proposal </w:t>
      </w:r>
      <w:r w:rsidR="0082399F">
        <w:rPr>
          <w:b/>
        </w:rPr>
        <w:t>3</w:t>
      </w:r>
      <w:r w:rsidRPr="00332F53">
        <w:rPr>
          <w:b/>
        </w:rPr>
        <w:t xml:space="preserve">. Similar to PUR time alignment timer, threshold(s) for </w:t>
      </w:r>
      <w:r w:rsidR="007274D7">
        <w:rPr>
          <w:b/>
        </w:rPr>
        <w:t>NRSRP</w:t>
      </w:r>
      <w:r w:rsidRPr="00332F53">
        <w:rPr>
          <w:b/>
        </w:rPr>
        <w:t xml:space="preserve"> variation should be signalled to UE when UE is configured to use serving cell </w:t>
      </w:r>
      <w:r w:rsidR="007274D7">
        <w:rPr>
          <w:b/>
        </w:rPr>
        <w:t>NRSRP</w:t>
      </w:r>
      <w:r w:rsidRPr="00332F53">
        <w:rPr>
          <w:b/>
        </w:rPr>
        <w:t xml:space="preserve"> change for TA validation. More than one threshold can be signalled to account for changes in coverage in idle mode not known to eNB. In selecting the value of threshold(s), the absolute </w:t>
      </w:r>
      <w:r w:rsidR="007274D7">
        <w:rPr>
          <w:b/>
        </w:rPr>
        <w:t>NRSRP</w:t>
      </w:r>
      <w:r w:rsidRPr="00332F53">
        <w:rPr>
          <w:b/>
        </w:rPr>
        <w:t xml:space="preserve"> accuracy requirements in Section 9.1.2</w:t>
      </w:r>
      <w:r w:rsidR="006D7122">
        <w:rPr>
          <w:b/>
        </w:rPr>
        <w:t>2</w:t>
      </w:r>
      <w:r w:rsidRPr="00332F53">
        <w:rPr>
          <w:b/>
        </w:rPr>
        <w:t xml:space="preserve"> of 36.133 can be used as guidelines. </w:t>
      </w:r>
    </w:p>
    <w:p w14:paraId="05109B46" w14:textId="141B6F26" w:rsidR="00F2107A" w:rsidRDefault="0032488E" w:rsidP="005D6C7D">
      <w:pPr>
        <w:pStyle w:val="Heading1"/>
        <w:rPr>
          <w:lang w:val="en-US"/>
        </w:rPr>
      </w:pPr>
      <w:r>
        <w:rPr>
          <w:lang w:val="en-US"/>
        </w:rPr>
        <w:t>Con</w:t>
      </w:r>
      <w:r w:rsidR="00F2107A">
        <w:rPr>
          <w:lang w:val="en-US"/>
        </w:rPr>
        <w:t>clusions</w:t>
      </w:r>
    </w:p>
    <w:p w14:paraId="7B83B521" w14:textId="5D7805FF" w:rsidR="00332F53" w:rsidRPr="00332F53" w:rsidRDefault="00332F53" w:rsidP="00332F53">
      <w:pPr>
        <w:rPr>
          <w:b/>
          <w:lang w:val="en-US"/>
        </w:rPr>
      </w:pPr>
      <w:r w:rsidRPr="00252BD1">
        <w:rPr>
          <w:b/>
          <w:lang w:val="en-US"/>
        </w:rPr>
        <w:t>Observation 1.  If UE is configured with PUR associated with a serving cell and its TA value, then a change in serving cell invalidates that TA.</w:t>
      </w:r>
    </w:p>
    <w:p w14:paraId="197FB500" w14:textId="77777777" w:rsidR="00332F53" w:rsidRPr="006C2FD5" w:rsidRDefault="00332F53" w:rsidP="00332F53">
      <w:pPr>
        <w:spacing w:after="0"/>
        <w:rPr>
          <w:rFonts w:eastAsia="Batang"/>
          <w:b/>
          <w:lang w:val="en-US" w:eastAsia="x-none"/>
        </w:rPr>
      </w:pPr>
      <w:r w:rsidRPr="006C2FD5">
        <w:rPr>
          <w:b/>
          <w:bCs/>
          <w:lang w:val="en-US"/>
        </w:rPr>
        <w:t xml:space="preserve">Observation 2. TA validation configuration can include “PUR Time Alignment Timer” </w:t>
      </w:r>
      <w:r w:rsidRPr="006C2FD5">
        <w:rPr>
          <w:rFonts w:eastAsia="Batang"/>
          <w:b/>
          <w:lang w:val="en-US" w:eastAsia="x-none"/>
        </w:rPr>
        <w:t>where the UE considers the TA as invalid if the (current time – time at last TA update) &gt; the PUR Time Alignment Timer.</w:t>
      </w:r>
    </w:p>
    <w:p w14:paraId="534F736D" w14:textId="77777777" w:rsidR="00332F53" w:rsidRPr="006C2FD5" w:rsidRDefault="00332F53" w:rsidP="00332F53">
      <w:pPr>
        <w:spacing w:after="0"/>
        <w:rPr>
          <w:rFonts w:eastAsia="Batang"/>
          <w:b/>
          <w:lang w:val="en-US" w:eastAsia="x-none"/>
        </w:rPr>
      </w:pPr>
    </w:p>
    <w:p w14:paraId="2A0BFFCE" w14:textId="77777777" w:rsidR="00332F53" w:rsidRPr="006C2FD5" w:rsidRDefault="00332F53" w:rsidP="00332F53">
      <w:pPr>
        <w:rPr>
          <w:b/>
          <w:bCs/>
          <w:lang w:val="en-US"/>
        </w:rPr>
      </w:pPr>
      <w:r w:rsidRPr="006C2FD5">
        <w:rPr>
          <w:rFonts w:eastAsia="Batang"/>
          <w:b/>
          <w:lang w:val="en-US" w:eastAsia="x-none"/>
        </w:rPr>
        <w:t xml:space="preserve">Proposal </w:t>
      </w:r>
      <w:r>
        <w:rPr>
          <w:rFonts w:eastAsia="Batang"/>
          <w:b/>
          <w:lang w:val="en-US" w:eastAsia="x-none"/>
        </w:rPr>
        <w:t>1</w:t>
      </w:r>
      <w:r w:rsidRPr="006C2FD5">
        <w:rPr>
          <w:rFonts w:eastAsia="Batang"/>
          <w:b/>
          <w:lang w:val="en-US" w:eastAsia="x-none"/>
        </w:rPr>
        <w:t xml:space="preserve">. RAN4 need not define a threshold for the </w:t>
      </w:r>
      <w:r w:rsidR="00C24913" w:rsidRPr="00C24913">
        <w:rPr>
          <w:b/>
          <w:bCs/>
          <w:lang w:val="en-US"/>
        </w:rPr>
        <w:t>time period during which TA is considered as valid</w:t>
      </w:r>
      <w:r w:rsidRPr="006C2FD5">
        <w:rPr>
          <w:b/>
          <w:bCs/>
          <w:lang w:val="en-US"/>
        </w:rPr>
        <w:t xml:space="preserve"> as this threshold will be configured by network and signaled to UE. </w:t>
      </w:r>
    </w:p>
    <w:p w14:paraId="4DD5ADF7" w14:textId="77777777" w:rsidR="00332F53" w:rsidRPr="00332F53" w:rsidRDefault="00332F53" w:rsidP="00332F53">
      <w:pPr>
        <w:rPr>
          <w:lang w:val="en-US"/>
        </w:rPr>
      </w:pPr>
    </w:p>
    <w:p w14:paraId="5AC6F0EB" w14:textId="2464BD62" w:rsidR="00332F53" w:rsidRPr="00FE74F3" w:rsidRDefault="00332F53" w:rsidP="00332F53">
      <w:pPr>
        <w:rPr>
          <w:b/>
        </w:rPr>
      </w:pPr>
      <w:r w:rsidRPr="00FE74F3">
        <w:rPr>
          <w:b/>
        </w:rPr>
        <w:t xml:space="preserve">Observation 3. Regarding qualifying </w:t>
      </w:r>
      <w:r w:rsidR="007274D7">
        <w:rPr>
          <w:b/>
        </w:rPr>
        <w:t>NRSRP</w:t>
      </w:r>
      <w:r w:rsidRPr="00FE74F3">
        <w:rPr>
          <w:b/>
        </w:rPr>
        <w:t xml:space="preserve"> change additionally with a TA threshold:</w:t>
      </w:r>
    </w:p>
    <w:p w14:paraId="1D153B5E" w14:textId="30D2EEB8" w:rsidR="00332F53" w:rsidRPr="00FE74F3" w:rsidRDefault="00332F53" w:rsidP="00090928">
      <w:pPr>
        <w:pStyle w:val="ListParagraph"/>
        <w:numPr>
          <w:ilvl w:val="0"/>
          <w:numId w:val="9"/>
        </w:numPr>
        <w:rPr>
          <w:b/>
          <w:sz w:val="20"/>
          <w:szCs w:val="20"/>
        </w:rPr>
      </w:pPr>
      <w:r w:rsidRPr="00FE74F3">
        <w:rPr>
          <w:b/>
          <w:sz w:val="20"/>
          <w:szCs w:val="20"/>
        </w:rPr>
        <w:t xml:space="preserve">FSPL is not necessarily valid to link </w:t>
      </w:r>
      <w:r w:rsidR="007274D7">
        <w:rPr>
          <w:b/>
          <w:sz w:val="20"/>
          <w:szCs w:val="20"/>
        </w:rPr>
        <w:t>NRSRP</w:t>
      </w:r>
      <w:r w:rsidRPr="00FE74F3">
        <w:rPr>
          <w:b/>
          <w:sz w:val="20"/>
          <w:szCs w:val="20"/>
        </w:rPr>
        <w:t xml:space="preserve"> change and TA together. A UE can be in deep coverage region (e.g., basement) and experience low </w:t>
      </w:r>
      <w:r w:rsidR="007274D7">
        <w:rPr>
          <w:b/>
          <w:sz w:val="20"/>
          <w:szCs w:val="20"/>
        </w:rPr>
        <w:t>NRSRP</w:t>
      </w:r>
      <w:r w:rsidRPr="00FE74F3">
        <w:rPr>
          <w:b/>
          <w:sz w:val="20"/>
          <w:szCs w:val="20"/>
        </w:rPr>
        <w:t xml:space="preserve"> and yet have a small TA.</w:t>
      </w:r>
    </w:p>
    <w:p w14:paraId="52935060" w14:textId="5D475B5C" w:rsidR="00332F53" w:rsidRPr="00FE74F3" w:rsidRDefault="00332F53" w:rsidP="00090928">
      <w:pPr>
        <w:pStyle w:val="ListParagraph"/>
        <w:numPr>
          <w:ilvl w:val="0"/>
          <w:numId w:val="10"/>
        </w:numPr>
        <w:rPr>
          <w:b/>
          <w:sz w:val="20"/>
          <w:szCs w:val="20"/>
        </w:rPr>
      </w:pPr>
      <w:r w:rsidRPr="00FE74F3">
        <w:rPr>
          <w:b/>
          <w:sz w:val="20"/>
          <w:szCs w:val="20"/>
        </w:rPr>
        <w:t xml:space="preserve">A single </w:t>
      </w:r>
      <w:r w:rsidR="007274D7">
        <w:rPr>
          <w:b/>
          <w:sz w:val="20"/>
          <w:szCs w:val="20"/>
        </w:rPr>
        <w:t>NRSRP</w:t>
      </w:r>
      <w:r w:rsidRPr="00FE74F3">
        <w:rPr>
          <w:b/>
          <w:sz w:val="20"/>
          <w:szCs w:val="20"/>
        </w:rPr>
        <w:t xml:space="preserve"> and TA threshold is suboptimal. A UE with TA close to zero can experience a much larger </w:t>
      </w:r>
      <w:r w:rsidR="007274D7">
        <w:rPr>
          <w:b/>
          <w:sz w:val="20"/>
          <w:szCs w:val="20"/>
        </w:rPr>
        <w:t>NRSRP</w:t>
      </w:r>
      <w:r w:rsidRPr="00FE74F3">
        <w:rPr>
          <w:b/>
          <w:sz w:val="20"/>
          <w:szCs w:val="20"/>
        </w:rPr>
        <w:t xml:space="preserve"> variation compared to another UE with TA near ½ CP window.</w:t>
      </w:r>
    </w:p>
    <w:p w14:paraId="787F5ACC" w14:textId="4BE239D7" w:rsidR="00332F53" w:rsidRPr="00FE74F3" w:rsidRDefault="007274D7" w:rsidP="00090928">
      <w:pPr>
        <w:pStyle w:val="ListParagraph"/>
        <w:numPr>
          <w:ilvl w:val="0"/>
          <w:numId w:val="10"/>
        </w:numPr>
        <w:rPr>
          <w:b/>
          <w:sz w:val="20"/>
          <w:szCs w:val="20"/>
        </w:rPr>
      </w:pPr>
      <w:r>
        <w:rPr>
          <w:b/>
          <w:sz w:val="20"/>
          <w:szCs w:val="20"/>
        </w:rPr>
        <w:t>NRSRP</w:t>
      </w:r>
      <w:r w:rsidR="00332F53" w:rsidRPr="00FE74F3">
        <w:rPr>
          <w:b/>
          <w:sz w:val="20"/>
          <w:szCs w:val="20"/>
        </w:rPr>
        <w:t xml:space="preserve"> estimation accuracy degrades as SNR degrades. Therefore, even with FSPL assumption, a UE with larger TA value (farther from eNB) should be allowed more margin in </w:t>
      </w:r>
      <w:r>
        <w:rPr>
          <w:b/>
          <w:sz w:val="20"/>
          <w:szCs w:val="20"/>
        </w:rPr>
        <w:t>NRSRP</w:t>
      </w:r>
      <w:r w:rsidR="00332F53" w:rsidRPr="00FE74F3">
        <w:rPr>
          <w:b/>
          <w:sz w:val="20"/>
          <w:szCs w:val="20"/>
        </w:rPr>
        <w:t xml:space="preserve"> change to account for estimation accuracy compared to another UE in better coverage and smaller TA. </w:t>
      </w:r>
    </w:p>
    <w:p w14:paraId="48CB41D7" w14:textId="3368FD98" w:rsidR="00332F53" w:rsidRDefault="00332F53" w:rsidP="00332F53"/>
    <w:p w14:paraId="6116160A" w14:textId="77777777" w:rsidR="0082399F" w:rsidRPr="0082399F" w:rsidRDefault="0082399F" w:rsidP="0082399F">
      <w:pPr>
        <w:rPr>
          <w:b/>
        </w:rPr>
      </w:pPr>
      <w:r w:rsidRPr="0082399F">
        <w:rPr>
          <w:b/>
        </w:rPr>
        <w:t>Proposal 2. UE should not be asked to perform additional NRSRP measurements compared to existing requirements just for the purpose of supporting TA validation. Particularly in idle mode, additional measurements have adverse impacts on UE power consumption.</w:t>
      </w:r>
    </w:p>
    <w:p w14:paraId="5DD575D3" w14:textId="77777777" w:rsidR="0082399F" w:rsidRDefault="0082399F" w:rsidP="00332F53"/>
    <w:p w14:paraId="5F7E5909" w14:textId="190A5ADB" w:rsidR="00332F53" w:rsidRPr="00332F53" w:rsidRDefault="00332F53" w:rsidP="00332F53">
      <w:pPr>
        <w:rPr>
          <w:b/>
        </w:rPr>
      </w:pPr>
      <w:r w:rsidRPr="00332F53">
        <w:rPr>
          <w:b/>
        </w:rPr>
        <w:t xml:space="preserve">Proposal </w:t>
      </w:r>
      <w:r w:rsidR="0082399F">
        <w:rPr>
          <w:b/>
        </w:rPr>
        <w:t>3</w:t>
      </w:r>
      <w:r w:rsidRPr="00332F53">
        <w:rPr>
          <w:b/>
        </w:rPr>
        <w:t xml:space="preserve">. Similar to PUR time alignment timer, threshold(s) for </w:t>
      </w:r>
      <w:r w:rsidR="007274D7">
        <w:rPr>
          <w:b/>
        </w:rPr>
        <w:t>NRSRP</w:t>
      </w:r>
      <w:r w:rsidRPr="00332F53">
        <w:rPr>
          <w:b/>
        </w:rPr>
        <w:t xml:space="preserve"> variation should be signalled to UE when UE is configured to use serving cell </w:t>
      </w:r>
      <w:r w:rsidR="007274D7">
        <w:rPr>
          <w:b/>
        </w:rPr>
        <w:t>NRSRP</w:t>
      </w:r>
      <w:r w:rsidRPr="00332F53">
        <w:rPr>
          <w:b/>
        </w:rPr>
        <w:t xml:space="preserve"> change for TA validation. More than one threshold can be signalled to account for changes in coverage in idle mode not known to eNB. In selecting the value of threshold(s), the absolute </w:t>
      </w:r>
      <w:r w:rsidR="007274D7">
        <w:rPr>
          <w:b/>
        </w:rPr>
        <w:t>NRSRP</w:t>
      </w:r>
      <w:r w:rsidRPr="00332F53">
        <w:rPr>
          <w:b/>
        </w:rPr>
        <w:t xml:space="preserve"> accuracy requirements in Section 9.1.2</w:t>
      </w:r>
      <w:r w:rsidR="006D7122">
        <w:rPr>
          <w:b/>
        </w:rPr>
        <w:t>2</w:t>
      </w:r>
      <w:r w:rsidRPr="00332F53">
        <w:rPr>
          <w:b/>
        </w:rPr>
        <w:t xml:space="preserve"> of 36.133 can be used as guidelines. </w:t>
      </w:r>
    </w:p>
    <w:p w14:paraId="5375FED0" w14:textId="77777777" w:rsidR="00C51EC1" w:rsidRPr="00C51EC1" w:rsidRDefault="00C51EC1" w:rsidP="00C51EC1">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4F68B614" w14:textId="19A0051A" w:rsidR="00353542" w:rsidRDefault="00690DA5" w:rsidP="00C51EC1">
      <w:r>
        <w:rPr>
          <w:lang w:val="en-US"/>
        </w:rPr>
        <w:t>[</w:t>
      </w:r>
      <w:r w:rsidR="00AD782A">
        <w:rPr>
          <w:lang w:val="en-US"/>
        </w:rPr>
        <w:t>1</w:t>
      </w:r>
      <w:r w:rsidR="007820D6">
        <w:rPr>
          <w:lang w:val="en-US"/>
        </w:rPr>
        <w:t>]</w:t>
      </w:r>
      <w:r w:rsidR="00FC580D">
        <w:t xml:space="preserve"> </w:t>
      </w:r>
      <w:r w:rsidR="00131E99">
        <w:t>R4-1902</w:t>
      </w:r>
      <w:r w:rsidR="0017001F">
        <w:t>371</w:t>
      </w:r>
    </w:p>
    <w:p w14:paraId="738AD65C" w14:textId="635C5D30" w:rsidR="00252BD1" w:rsidRDefault="00252BD1" w:rsidP="00C51EC1">
      <w:r>
        <w:t>[2] R</w:t>
      </w:r>
      <w:r w:rsidR="007274D7">
        <w:t>P-19xxxxx – Rel-16 NB-IoT SR</w:t>
      </w:r>
    </w:p>
    <w:p w14:paraId="15C48504" w14:textId="718EDA82" w:rsidR="00252BD1" w:rsidRDefault="00252BD1" w:rsidP="00C51EC1">
      <w:r>
        <w:t>[3] R1-190</w:t>
      </w:r>
      <w:r w:rsidR="00061200">
        <w:t>1587</w:t>
      </w:r>
    </w:p>
    <w:p w14:paraId="42C8D945" w14:textId="5F48DC8D" w:rsidR="00527277" w:rsidRDefault="00527277" w:rsidP="00797CE5"/>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1B6BB" w14:textId="77777777" w:rsidR="007936A1" w:rsidRDefault="007936A1">
      <w:r>
        <w:separator/>
      </w:r>
    </w:p>
  </w:endnote>
  <w:endnote w:type="continuationSeparator" w:id="0">
    <w:p w14:paraId="52DACD24" w14:textId="77777777" w:rsidR="007936A1" w:rsidRDefault="0079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C6C7" w14:textId="77777777" w:rsidR="007936A1" w:rsidRDefault="007936A1">
      <w:r>
        <w:separator/>
      </w:r>
    </w:p>
  </w:footnote>
  <w:footnote w:type="continuationSeparator" w:id="0">
    <w:p w14:paraId="0EF0A778" w14:textId="77777777" w:rsidR="007936A1" w:rsidRDefault="00793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9"/>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4"/>
  </w:num>
  <w:num w:numId="8">
    <w:abstractNumId w:val="3"/>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0E9"/>
    <w:rsid w:val="001966D2"/>
    <w:rsid w:val="00196FDA"/>
    <w:rsid w:val="001971C3"/>
    <w:rsid w:val="001972BE"/>
    <w:rsid w:val="0019779B"/>
    <w:rsid w:val="00197B18"/>
    <w:rsid w:val="00197D71"/>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A0F"/>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6A1"/>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99F"/>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5B59"/>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978"/>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D0A"/>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343E-9A1B-4654-A8F3-4E7EFF423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10</cp:revision>
  <cp:lastPrinted>2009-04-22T21:01:00Z</cp:lastPrinted>
  <dcterms:created xsi:type="dcterms:W3CDTF">2019-03-19T21:41:00Z</dcterms:created>
  <dcterms:modified xsi:type="dcterms:W3CDTF">2019-03-31T23:53:00Z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